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20321</wp:posOffset>
                </wp:positionV>
                <wp:extent cx="4438015" cy="733425"/>
                <wp:effectExtent b="0" l="0" r="0" t="0"/>
                <wp:wrapSquare wrapText="bothSides" distB="45720" distT="45720" distL="114300" distR="114300"/>
                <wp:docPr id="23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31755" y="3418050"/>
                          <a:ext cx="442849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52baad"/>
                                <w:sz w:val="72"/>
                                <w:vertAlign w:val="baseline"/>
                              </w:rPr>
                              <w:t xml:space="preserve">Въведение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636a6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20321</wp:posOffset>
                </wp:positionV>
                <wp:extent cx="4438015" cy="733425"/>
                <wp:effectExtent b="0" l="0" r="0" t="0"/>
                <wp:wrapSquare wrapText="bothSides" distB="45720" distT="45720" distL="114300" distR="114300"/>
                <wp:docPr id="23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801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bookmarkStart w:colFirst="0" w:colLast="0" w:name="_heading=h.3j2qqm3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299720</wp:posOffset>
                </wp:positionV>
                <wp:extent cx="6438900" cy="1409700"/>
                <wp:effectExtent b="0" l="0" r="0" t="0"/>
                <wp:wrapSquare wrapText="bothSides" distB="45720" distT="45720" distL="114300" distR="114300"/>
                <wp:docPr id="23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131313" y="3079913"/>
                          <a:ext cx="642937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1"/>
                                <w:smallCaps w:val="0"/>
                                <w:strike w:val="0"/>
                                <w:color w:val="f47f5d"/>
                                <w:sz w:val="52"/>
                                <w:vertAlign w:val="baseline"/>
                              </w:rPr>
                              <w:t xml:space="preserve">IO1: 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1"/>
                                <w:i w:val="1"/>
                                <w:smallCaps w:val="0"/>
                                <w:strike w:val="0"/>
                                <w:color w:val="f47f5d"/>
                                <w:sz w:val="52"/>
                                <w:vertAlign w:val="baseline"/>
                              </w:rPr>
                              <w:t xml:space="preserve">Учебна програма за обучение между поколенията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299720</wp:posOffset>
                </wp:positionV>
                <wp:extent cx="6438900" cy="1409700"/>
                <wp:effectExtent b="0" l="0" r="0" t="0"/>
                <wp:wrapSquare wrapText="bothSides" distB="45720" distT="45720" distL="114300" distR="114300"/>
                <wp:docPr id="23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8900" cy="140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Верни отговори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a. Вярно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color w:val="808080"/>
        </w:rPr>
      </w:pPr>
      <w:r w:rsidDel="00000000" w:rsidR="00000000" w:rsidRPr="00000000">
        <w:rPr>
          <w:rtl w:val="0"/>
        </w:rPr>
        <w:t xml:space="preserve">Наставничеството между поколенията</w:t>
      </w:r>
      <w:r w:rsidDel="00000000" w:rsidR="00000000" w:rsidRPr="00000000">
        <w:rPr>
          <w:b w:val="1"/>
          <w:color w:val="9868bc"/>
          <w:rtl w:val="0"/>
        </w:rPr>
        <w:t xml:space="preserve"> </w:t>
      </w:r>
      <w:r w:rsidDel="00000000" w:rsidR="00000000" w:rsidRPr="00000000">
        <w:rPr>
          <w:rtl w:val="0"/>
        </w:rPr>
        <w:t xml:space="preserve">сред възрастните и младите работници може да се дефинира като събирането на по-възрастен работник с по-млад, с цел насърчаване на взаимното обучение и растеж, от което и двете възрастови групи да извлекат ползи от гл.т. на своите умения и опит. Основната цел на всяка корпоративна среда, която популяризира практиката на „наставничеството“ е да създаде подхранваща и креативна работна среда, в която всички поколения могат да обединят своя опит и знания, за да са си полезни един на друг. Обученията могат да включват: преподаване на нови технологии, управление на социални медии, връзки с клиенти, писане, обучения по лидерство и управление.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808080"/>
          <w:u w:val="single"/>
        </w:rPr>
      </w:pPr>
      <w:r w:rsidDel="00000000" w:rsidR="00000000" w:rsidRPr="00000000">
        <w:rPr>
          <w:color w:val="808080"/>
          <w:u w:val="single"/>
          <w:rtl w:val="0"/>
        </w:rPr>
        <w:t xml:space="preserve">Примерни умения, които могат да се предават – обмен на знания: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808080"/>
        </w:rPr>
      </w:pPr>
      <w:r w:rsidDel="00000000" w:rsidR="00000000" w:rsidRPr="00000000">
        <w:rPr>
          <w:b w:val="1"/>
          <w:color w:val="808080"/>
          <w:rtl w:val="0"/>
        </w:rPr>
        <w:t xml:space="preserve">За младото поколение </w:t>
      </w:r>
      <w:r w:rsidDel="00000000" w:rsidR="00000000" w:rsidRPr="00000000">
        <w:rPr>
          <w:color w:val="808080"/>
          <w:rtl w:val="0"/>
        </w:rPr>
        <w:t xml:space="preserve">(критично мислене, решаване на проблеми и взимане на решения, стратегическо мислене)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808080"/>
        </w:rPr>
      </w:pPr>
      <w:r w:rsidDel="00000000" w:rsidR="00000000" w:rsidRPr="00000000">
        <w:rPr>
          <w:b w:val="1"/>
          <w:color w:val="808080"/>
          <w:rtl w:val="0"/>
        </w:rPr>
        <w:t xml:space="preserve">За възрастното поколение</w:t>
      </w:r>
      <w:r w:rsidDel="00000000" w:rsidR="00000000" w:rsidRPr="00000000">
        <w:rPr>
          <w:color w:val="808080"/>
          <w:rtl w:val="0"/>
        </w:rPr>
        <w:t xml:space="preserve"> (дигитални умения, медийна грамотност, справяне с технологичните предизвикателства)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a. Вярно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a. Вярно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б. Грешно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а. Вярно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color w:val="80808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636a6f"/>
          <w:rtl w:val="0"/>
        </w:rPr>
        <w:t xml:space="preserve">“Управление на възрастта“ </w:t>
      </w:r>
      <w:r w:rsidDel="00000000" w:rsidR="00000000" w:rsidRPr="00000000">
        <w:rPr>
          <w:rtl w:val="0"/>
        </w:rPr>
        <w:t xml:space="preserve">е термин, често използван за описване на практики или стратегии, специално предназначени за борба с възрастовите бариери, насърчаване на възрастовото разнообразие и създаване на приобщаваща среда, в която всеки индивид има подкрепата и средствата за постигане на своя максимален потенциал, без да бъде дискриминиран или ограничен поради възрастта си. </w:t>
      </w:r>
      <w:r w:rsidDel="00000000" w:rsidR="00000000" w:rsidRPr="00000000">
        <w:rPr>
          <w:color w:val="80808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/>
      </w:pPr>
      <w:r w:rsidDel="00000000" w:rsidR="00000000" w:rsidRPr="00000000">
        <w:rPr>
          <w:b w:val="1"/>
          <w:color w:val="636a6f"/>
          <w:rtl w:val="0"/>
        </w:rPr>
        <w:t xml:space="preserve">Критично мислене</w:t>
      </w:r>
      <w:r w:rsidDel="00000000" w:rsidR="00000000" w:rsidRPr="00000000">
        <w:rPr>
          <w:color w:val="636a6f"/>
          <w:rtl w:val="0"/>
        </w:rPr>
        <w:t xml:space="preserve">: е способността да се мисли рационално и да се разбира логическата връзка между нещата.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/>
      </w:pPr>
      <w:r w:rsidDel="00000000" w:rsidR="00000000" w:rsidRPr="00000000">
        <w:rPr>
          <w:b w:val="1"/>
          <w:color w:val="808080"/>
          <w:rtl w:val="0"/>
        </w:rPr>
        <w:t xml:space="preserve">Предимствата на възрастовото разнообразие</w:t>
      </w:r>
      <w:r w:rsidDel="00000000" w:rsidR="00000000" w:rsidRPr="00000000">
        <w:rPr>
          <w:color w:val="808080"/>
          <w:rtl w:val="0"/>
        </w:rPr>
        <w:t xml:space="preserve"> </w:t>
      </w:r>
      <w:r w:rsidDel="00000000" w:rsidR="00000000" w:rsidRPr="00000000">
        <w:rPr>
          <w:rtl w:val="0"/>
        </w:rPr>
        <w:t xml:space="preserve">в дадена организация включват подобрение на организационното представяне, повишена мотивация на персонала, стимулиране на творческото мислене и привличане на широк спектър от таланти и повишаване на корпоративната репутация.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б. Грешно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bookmarkStart w:colFirst="0" w:colLast="0" w:name="_heading=h.7nm61bctalz3" w:id="1"/>
      <w:bookmarkEnd w:id="1"/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9" w:w="11907" w:orient="portrait"/>
      <w:pgMar w:bottom="1440" w:top="189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pen Sans Light"/>
  <w:font w:name="Ope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rFonts w:ascii="Open Sans" w:cs="Open Sans" w:eastAsia="Open Sans" w:hAnsi="Open Sans"/>
        <w:color w:val="636a6f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-628648</wp:posOffset>
          </wp:positionH>
          <wp:positionV relativeFrom="paragraph">
            <wp:posOffset>228600</wp:posOffset>
          </wp:positionV>
          <wp:extent cx="1533525" cy="315595"/>
          <wp:effectExtent b="0" l="0" r="0" t="0"/>
          <wp:wrapNone/>
          <wp:docPr id="2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3525" cy="3155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952500</wp:posOffset>
              </wp:positionH>
              <wp:positionV relativeFrom="paragraph">
                <wp:posOffset>114300</wp:posOffset>
              </wp:positionV>
              <wp:extent cx="5405120" cy="657225"/>
              <wp:effectExtent b="0" l="0" r="0" t="0"/>
              <wp:wrapNone/>
              <wp:docPr id="23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652965" y="3460913"/>
                        <a:ext cx="538607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0"/>
                              <w:i w:val="0"/>
                              <w:smallCaps w:val="0"/>
                              <w:strike w:val="0"/>
                              <w:color w:val="636a6f"/>
                              <w:sz w:val="16"/>
                              <w:vertAlign w:val="baseline"/>
                            </w:rPr>
                            <w:t xml:space="preserve">Този проект е финансиран с подкрепата на Европейската комисия по Програма Еразъм +. Настоящата публикация отразява единствено вижданията на автора и Комисията не носи отговорност за начина, по който може да бъде използвана съдържащата се в нея информация. Проект номер:  2020-1-BG01-KA202-079064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0"/>
                              <w:i w:val="0"/>
                              <w:smallCaps w:val="0"/>
                              <w:strike w:val="0"/>
                              <w:color w:val="636a6f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952500</wp:posOffset>
              </wp:positionH>
              <wp:positionV relativeFrom="paragraph">
                <wp:posOffset>114300</wp:posOffset>
              </wp:positionV>
              <wp:extent cx="5405120" cy="657225"/>
              <wp:effectExtent b="0" l="0" r="0" t="0"/>
              <wp:wrapNone/>
              <wp:docPr id="23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5120" cy="657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rFonts w:ascii="Open Sans" w:cs="Open Sans" w:eastAsia="Open Sans" w:hAnsi="Open Sans"/>
        <w:color w:val="636a6f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rFonts w:ascii="Open Sans" w:cs="Open Sans" w:eastAsia="Open Sans" w:hAnsi="Open Sans"/>
        <w:color w:val="636a6f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-476247</wp:posOffset>
          </wp:positionH>
          <wp:positionV relativeFrom="paragraph">
            <wp:posOffset>-171448</wp:posOffset>
          </wp:positionV>
          <wp:extent cx="771525" cy="479735"/>
          <wp:effectExtent b="0" l="0" r="0" t="0"/>
          <wp:wrapSquare wrapText="bothSides" distB="0" distT="0" distL="0" distR="0"/>
          <wp:docPr id="23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" cy="4797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4051300</wp:posOffset>
              </wp:positionH>
              <wp:positionV relativeFrom="paragraph">
                <wp:posOffset>-208279</wp:posOffset>
              </wp:positionV>
              <wp:extent cx="2379980" cy="466725"/>
              <wp:effectExtent b="0" l="0" r="0" t="0"/>
              <wp:wrapSquare wrapText="bothSides" distB="45720" distT="45720" distL="114300" distR="114300"/>
              <wp:docPr id="23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165535" y="3556163"/>
                        <a:ext cx="236093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0"/>
                              <w:i w:val="0"/>
                              <w:smallCaps w:val="0"/>
                              <w:strike w:val="0"/>
                              <w:color w:val="52baad"/>
                              <w:sz w:val="24"/>
                              <w:vertAlign w:val="baseline"/>
                            </w:rPr>
                            <w:t xml:space="preserve">www.learngen.eu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4051300</wp:posOffset>
              </wp:positionH>
              <wp:positionV relativeFrom="paragraph">
                <wp:posOffset>-208279</wp:posOffset>
              </wp:positionV>
              <wp:extent cx="2379980" cy="466725"/>
              <wp:effectExtent b="0" l="0" r="0" t="0"/>
              <wp:wrapSquare wrapText="bothSides" distB="45720" distT="45720" distL="114300" distR="114300"/>
              <wp:docPr id="23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9980" cy="466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 Light" w:cs="Open Sans Light" w:eastAsia="Open Sans Light" w:hAnsi="Open Sans Light"/>
        <w:color w:val="636a6f"/>
        <w:sz w:val="22"/>
        <w:szCs w:val="22"/>
        <w:lang w:val="bg-BG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Open Sans" w:cs="Open Sans" w:eastAsia="Open Sans" w:hAnsi="Open Sans"/>
      <w:b w:val="1"/>
      <w:color w:val="93d4cc"/>
      <w:sz w:val="36"/>
      <w:szCs w:val="36"/>
    </w:rPr>
  </w:style>
  <w:style w:type="paragraph" w:styleId="Heading2">
    <w:name w:val="heading 2"/>
    <w:basedOn w:val="Normal"/>
    <w:next w:val="Normal"/>
    <w:pPr/>
    <w:rPr>
      <w:rFonts w:ascii="Open Sans" w:cs="Open Sans" w:eastAsia="Open Sans" w:hAnsi="Open Sans"/>
      <w:b w:val="1"/>
      <w:color w:val="f2613a"/>
      <w:sz w:val="28"/>
      <w:szCs w:val="28"/>
    </w:rPr>
  </w:style>
  <w:style w:type="paragraph" w:styleId="Heading3">
    <w:name w:val="heading 3"/>
    <w:basedOn w:val="Normal"/>
    <w:next w:val="Normal"/>
    <w:pPr/>
    <w:rPr>
      <w:rFonts w:ascii="Open Sans" w:cs="Open Sans" w:eastAsia="Open Sans" w:hAnsi="Open Sans"/>
      <w:color w:val="858aa8"/>
      <w:sz w:val="28"/>
      <w:szCs w:val="28"/>
    </w:rPr>
  </w:style>
  <w:style w:type="paragraph" w:styleId="Heading4">
    <w:name w:val="heading 4"/>
    <w:basedOn w:val="Normal"/>
    <w:next w:val="Normal"/>
    <w:pPr/>
    <w:rPr>
      <w:rFonts w:ascii="Open Sans" w:cs="Open Sans" w:eastAsia="Open Sans" w:hAnsi="Open Sans"/>
      <w:b w:val="1"/>
      <w:i w:val="1"/>
      <w:color w:val="c7addb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Open Sans" w:cs="Open Sans" w:eastAsia="Open Sans" w:hAnsi="Open Sans"/>
      <w:color w:val="9da57c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E6D32"/>
    <w:rPr>
      <w:rFonts w:ascii="Open Sans Light" w:hAnsi="Open Sans Light"/>
      <w:color w:val="636a6f" w:themeColor="background2" w:themeShade="0000BF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3E6D32"/>
    <w:pPr>
      <w:outlineLvl w:val="0"/>
    </w:pPr>
    <w:rPr>
      <w:rFonts w:asciiTheme="majorHAnsi" w:hAnsiTheme="majorHAnsi"/>
      <w:b w:val="1"/>
      <w:color w:val="93d4cc" w:themeColor="accen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3E6D32"/>
    <w:pPr>
      <w:outlineLvl w:val="1"/>
    </w:pPr>
    <w:rPr>
      <w:rFonts w:asciiTheme="majorHAnsi" w:hAnsiTheme="majorHAnsi"/>
      <w:b w:val="1"/>
      <w:color w:val="f2613a" w:themeColor="accent6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3E6D32"/>
    <w:pPr>
      <w:outlineLvl w:val="2"/>
    </w:pPr>
    <w:rPr>
      <w:rFonts w:asciiTheme="majorHAnsi" w:hAnsiTheme="majorHAnsi"/>
      <w:color w:val="858aa8" w:themeColor="accent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rsid w:val="003E6D32"/>
    <w:pPr>
      <w:outlineLvl w:val="3"/>
    </w:pPr>
    <w:rPr>
      <w:rFonts w:asciiTheme="majorHAnsi" w:hAnsiTheme="majorHAnsi"/>
      <w:b w:val="1"/>
      <w:i w:val="1"/>
      <w:color w:val="c7addb" w:themeColor="accent3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3E6D32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9da57c" w:themeColor="accent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0E72E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72EE"/>
  </w:style>
  <w:style w:type="paragraph" w:styleId="Footer">
    <w:name w:val="footer"/>
    <w:basedOn w:val="Normal"/>
    <w:link w:val="FooterChar"/>
    <w:uiPriority w:val="99"/>
    <w:unhideWhenUsed w:val="1"/>
    <w:rsid w:val="000E72E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72EE"/>
  </w:style>
  <w:style w:type="character" w:styleId="Heading1Char" w:customStyle="1">
    <w:name w:val="Heading 1 Char"/>
    <w:basedOn w:val="DefaultParagraphFont"/>
    <w:link w:val="Heading1"/>
    <w:uiPriority w:val="9"/>
    <w:rsid w:val="003E6D32"/>
    <w:rPr>
      <w:rFonts w:asciiTheme="majorHAnsi" w:hAnsiTheme="majorHAnsi"/>
      <w:b w:val="1"/>
      <w:color w:val="93d4cc" w:themeColor="accent2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3E6D32"/>
    <w:rPr>
      <w:rFonts w:asciiTheme="majorHAnsi" w:hAnsiTheme="majorHAnsi"/>
      <w:b w:val="1"/>
      <w:color w:val="f2613a" w:themeColor="accent6"/>
      <w:sz w:val="28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3E6D32"/>
    <w:rPr>
      <w:rFonts w:asciiTheme="majorHAnsi" w:hAnsiTheme="majorHAnsi"/>
      <w:color w:val="858aa8" w:themeColor="accent5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3E6D32"/>
    <w:rPr>
      <w:rFonts w:asciiTheme="majorHAnsi" w:hAnsiTheme="majorHAnsi"/>
      <w:b w:val="1"/>
      <w:i w:val="1"/>
      <w:color w:val="c7addb" w:themeColor="accent3"/>
      <w:sz w:val="24"/>
      <w:szCs w:val="28"/>
    </w:rPr>
  </w:style>
  <w:style w:type="paragraph" w:styleId="ListParagraph">
    <w:name w:val="List Paragraph"/>
    <w:basedOn w:val="Normal"/>
    <w:uiPriority w:val="34"/>
    <w:qFormat w:val="1"/>
    <w:rsid w:val="00B22564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96CD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8D04BD"/>
    <w:rPr>
      <w:color w:val="93d4cc" w:themeColor="hyperlink"/>
      <w:u w:val="single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3E6D32"/>
    <w:pPr>
      <w:spacing w:after="100"/>
    </w:pPr>
    <w:rPr>
      <w:rFonts w:asciiTheme="majorHAnsi" w:hAnsiTheme="majorHAnsi"/>
      <w:b w:val="1"/>
      <w:color w:val="93d4cc" w:themeColor="accent2"/>
      <w:sz w:val="32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3E6D32"/>
    <w:pPr>
      <w:spacing w:after="100"/>
      <w:ind w:left="220"/>
    </w:pPr>
    <w:rPr>
      <w:rFonts w:asciiTheme="majorHAnsi" w:hAnsiTheme="majorHAnsi"/>
      <w:b w:val="1"/>
      <w:color w:val="f2613a" w:themeColor="accent6"/>
      <w:sz w:val="28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3E6D32"/>
    <w:pPr>
      <w:spacing w:after="100"/>
      <w:ind w:left="440"/>
    </w:pPr>
    <w:rPr>
      <w:rFonts w:asciiTheme="majorHAnsi" w:hAnsiTheme="majorHAnsi"/>
      <w:color w:val="858aa8" w:themeColor="accent5"/>
      <w:sz w:val="24"/>
    </w:rPr>
  </w:style>
  <w:style w:type="paragraph" w:styleId="NormalWeb">
    <w:name w:val="Normal (Web)"/>
    <w:basedOn w:val="Normal"/>
    <w:uiPriority w:val="99"/>
    <w:semiHidden w:val="1"/>
    <w:unhideWhenUsed w:val="1"/>
    <w:rsid w:val="007F6B3C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E6D32"/>
    <w:rPr>
      <w:rFonts w:asciiTheme="majorHAnsi" w:cstheme="majorBidi" w:eastAsiaTheme="majorEastAsia" w:hAnsiTheme="majorHAnsi"/>
      <w:color w:val="9da57c" w:themeColor="accent4"/>
    </w:r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3E6D32"/>
    <w:pPr>
      <w:spacing w:after="100"/>
      <w:ind w:left="660"/>
    </w:pPr>
    <w:rPr>
      <w:rFonts w:asciiTheme="majorHAnsi" w:hAnsiTheme="majorHAnsi"/>
      <w:b w:val="1"/>
      <w:i w:val="1"/>
      <w:color w:val="c7addb" w:themeColor="accent3"/>
    </w:r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3E6D32"/>
    <w:pPr>
      <w:spacing w:after="100"/>
      <w:ind w:left="880"/>
    </w:pPr>
    <w:rPr>
      <w:rFonts w:asciiTheme="majorHAnsi" w:hAnsiTheme="majorHAnsi"/>
      <w:color w:val="9da57c" w:themeColor="accent4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5730EB"/>
    <w:pPr>
      <w:keepNext w:val="1"/>
      <w:keepLines w:val="1"/>
      <w:spacing w:after="0" w:before="240"/>
      <w:outlineLvl w:val="9"/>
    </w:pPr>
    <w:rPr>
      <w:rFonts w:cstheme="majorBidi" w:eastAsiaTheme="majorEastAsia"/>
      <w:b w:val="0"/>
      <w:color w:val="ec4110" w:themeColor="accent1" w:themeShade="0000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70F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70F1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70F1B"/>
    <w:rPr>
      <w:rFonts w:ascii="Open Sans Light" w:hAnsi="Open Sans Light"/>
      <w:color w:val="636a6f" w:themeColor="background2" w:themeShade="0000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70F1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70F1B"/>
    <w:rPr>
      <w:rFonts w:ascii="Open Sans Light" w:hAnsi="Open Sans Light"/>
      <w:b w:val="1"/>
      <w:bCs w:val="1"/>
      <w:color w:val="636a6f" w:themeColor="background2" w:themeShade="0000BF"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532CD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LearnGen">
      <a:dk1>
        <a:srgbClr val="FFFFFF"/>
      </a:dk1>
      <a:lt1>
        <a:srgbClr val="868E93"/>
      </a:lt1>
      <a:dk2>
        <a:srgbClr val="E1E2E3"/>
      </a:dk2>
      <a:lt2>
        <a:srgbClr val="868E93"/>
      </a:lt2>
      <a:accent1>
        <a:srgbClr val="F47F5D"/>
      </a:accent1>
      <a:accent2>
        <a:srgbClr val="93D4CC"/>
      </a:accent2>
      <a:accent3>
        <a:srgbClr val="C7ADDB"/>
      </a:accent3>
      <a:accent4>
        <a:srgbClr val="9DA57C"/>
      </a:accent4>
      <a:accent5>
        <a:srgbClr val="858AA8"/>
      </a:accent5>
      <a:accent6>
        <a:srgbClr val="F2613A"/>
      </a:accent6>
      <a:hlink>
        <a:srgbClr val="93D4CC"/>
      </a:hlink>
      <a:folHlink>
        <a:srgbClr val="70C6BC"/>
      </a:folHlink>
    </a:clrScheme>
    <a:fontScheme name="Custom 1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LyO9/EMpnGVSS/3QrD8o94eZYA==">AMUW2mVlZHL32Wm1HFLMU93fCshCosVcJUJtOLJmWBxSZQIKKpP7MesFg2uaZ8JArxOjxChwyPxP6g/sBhuR7WWzFLyWt6rivA/U9naFlUftYb+dgFqfQH6xv69ousmi1ouPIuN/EUp8I1wRbC8ruVSshHBJF6xdcw==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2021-07-28T08:03:00Z</dcterms:created>
  <dc:creator>Helen</dc:creator>
</cp:coreProperties>
</file>